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2018/1 vom 5. November 2018</w:t>
      </w:r>
    </w:p>
    <w:p>
      <w:r>
        <w:t>Sg Versicherungsgericht, 2018-11-05, DE</w:t>
      </w:r>
    </w:p>
    <w:p>
      <w:r>
        <w:rPr>
          <w:b/>
        </w:rPr>
        <w:t xml:space="preserve">Quelle: </w:t>
      </w:r>
      <w:r>
        <w:t>https://mcp.opencaselaw.ch/entscheid/sg_publikationen_MV 2018_1</w:t>
      </w:r>
    </w:p>
    <w:p>
      <w:r>
        <w:t>FR: SG_VERSICHERUNGSGERICHT MV 2018/1 du 5 novembre 2018</w:t>
      </w:r>
    </w:p>
    <w:p>
      <w:r>
        <w:t>IT: SG_VERSICHERUNGSGERICHT MV 2018/1 del 5 novembre 2018</w:t>
      </w:r>
    </w:p>
    <w:p>
      <w:pPr>
        <w:pStyle w:val="Heading2"/>
      </w:pPr>
      <w:r>
        <w:t>Regeste</w:t>
      </w:r>
    </w:p>
    <w:p>
      <w:r>
        <w:t>Art. 6 MVG.Tinnitus. Knalltrauma. Kein Leistungsanspruch bei einem objektiv nicht nachweisbaren Tinnitus (Entscheid des Versicherungsgerichts des Kantons St. Gallen vom 5. November 2018, MV 2018/1).</w:t>
      </w:r>
    </w:p>
    <w:p>
      <w:pPr>
        <w:pStyle w:val="Heading2"/>
      </w:pPr>
      <w:r>
        <w:t>Erwägungen</w:t>
      </w:r>
    </w:p>
    <w:p>
      <w:r>
        <w:rPr>
          <w:b/>
        </w:rPr>
        <w:t>E. 1</w:t>
      </w:r>
    </w:p>
    <w:p>
      <w:r>
        <w:t>Der Beschwerdeführer hat seine Eingabe an das Versicherungsgericht (wohl versehentlich) als „Einsprache“ bezeichnet. Da er sich aber – der Rechtsmittelbelehrung im angefochtenen Entscheid folgend – an das Versicherungsgericht und nicht etwa an die Beschwerdegegnerin gewandt hat und da die Eingabe eindeutig auf eine Aufhebung des Einspracheentscheides vom 8. Juni 2018 abzielt, kommt der versehentlichen falschen Bezeichnung als „Einsprache“ keine entscheidende Bedeutung zu. Die Eingabe ist ohne Weiteres als eine Beschwerde im Sinne der Art. 56 ff. ATSG beziehungsweise – kantonalrechtlich – als ein Rekurs im Sinne des Art. 42 VRP zu qualifizieren. Da die Beschwerde frist- und formgerecht erhoben worden ist und da das Versicherungsgericht des Kantons St. Gallen zur Behandlung der Beschwerde zuständig ist, ist darauf einzutreten.</w:t>
      </w:r>
    </w:p>
    <w:p>
      <w:r>
        <w:rPr>
          <w:b/>
        </w:rPr>
        <w:t>E. 2</w:t>
      </w:r>
    </w:p>
    <w:p>
      <w:r>
        <w:t>2.1  Der Beschwerdeführer hat sich im Zusammenhang mit den beiden Ereignissen in den Jahren 1974 und 1975 insgesamt viermal zum Leistungsbezug bei der Beschwerdegegnerin angemeldet. Im Zusammenhang mit den beiden ersten Anmeldungen vom Sommer 1974 und vom Januar 1976 hat die Beschwerdegegnerin ihre Leistungspflicht ohne Weiteres anerkannt und sie hat die Kosten der medizinischen Heilbehandlung vergütet. Bei der dritten Anmeldung im Jahr 1999 hat sie ihre Leistungspflicht wiederum ohne Weiteres anerkannt. Sie hat erneut Heilbehandlungskosten vergütet und dem Beschwerdeführer eine Integritätsschadenrente zugesprochen. Wie sich einem entsprechenden Hinweis in der Verfügung vom 16. November 2000 entnehmen lässt, setzt die Zusprache einer Integritätsschadenrente gemäss dem Art. 48 Abs. 2 MVG einen Abschluss der ärztlichen Behandlung oder aber die Prognose voraus, dass die Fortsetzung der ärztlichen Behandlung keine namhafte Besserung des Gesundheitszustandes bewirken wird. Tatsächlich hat der Versicherte denn auch über 16 Jahre lang keine Kostenvergütung von Heilbehandlungsmassnahmen mehr beantragt, obwohl bereits damals – in den Jahren 1999 und 2000 – Noiser-Geräte als Heilbehandlungsmittel zur Diskussion gestanden hatten. Die vierte Anmeldung vom Januar 2017 ist vor diesem Hintergrund als eine Geltendmachung von Spätfolgen respektive eines Rückfalls im Sinne des Art. 6 MVG zu qualifizieren. Das bedeutet, dass eine erneute Leistungspflicht der Beschwerdegegnerin das Vorliegen eines Kausalzusammenhangs zwischen den neu geltend gemachten Beschwerden und der versicherten Gesundheitsschädigung voraussetzt. Der Art. 6 MVG hält fest, dass der Kausalzusammenhang mit dem im Sozialversicherungsrecht üblichen Beweisgrad der überwiegenden Wahrscheinlichkeit nachgewiesen sein muss. Das kann sich aber nur auf den sogenannten natürlichen Kausalzusammenhang beziehen, also in aller Regel auf die Frage, ob eine bestimmte Gesundheitsschädigung aus medizinischer Sicht als ursächlich für die zur Diskussion stehenden Beschwerden qualifiziert werden kann. Der natürliche Kausalzusammenhang vermag für sich allein allerdings noch keine Leistungspflicht zu begründen, denn diese setzt zusätzlich auch noch einen adäquaten Kausalzusammenhang voraus. Bei diesem handelt es sich um eine juristische Wertung, die darauf abzielt, den Kreis der natürlich adäquaten Folgen einer bestimmten Gesundheitsschädigung auf ein versicherungsrechtlich vernünftiges Mass einzugrenzen. Anders als der natürliche Kausalzusammenhang kann der adäquate Kausalzusammenhang nicht bewiesen werden; die Beantwortung der Frage nach dem Vorliegen eines adäquaten Kausalzusammenhangs stellt einen Rechtsanwendungsvorgang dar. 2.2  Gemäss der formell rechtskräftig und damit verbindlich gewordenen Verfügung vom 16. November 2000 ist der sogenannte „Grundfall“ nicht bereits im Jahr 1976, sondern erst im Jahr 2000 abgeschlossen worden. Für die Beantwortung der Frage, ob die im Januar 2017 geltend gemachten Beschwerden eine neuerliche Leistungspflicht der Beschwerdegegnerin begründen, ist also entscheidend, ob ein natürlicher und adäquater Kausalzusammenhang zwischen dem im Jahr 2000 abgeschlossenen „Grundfall“ und den im Jahr 2017 geltend gemachten Beschwerden besteht. Das Vorliegen eines natürlichen Kausalzusammenhangs ist ohne Weiteres zu bejahen, denn aus medizinischer Sicht steht mit dem erforderlichen Beweisgrad der überwiegenden Wahrscheinlichkeit fest, dass es sich bei den im Jahr 2017 geltend gemachten Beschwerden immer noch um den Tinnitus gehandelt hat, der im Jahr 1974 aufgetreten war und sich im Jahr 1975 verschlimmert hatte. Die einzige in Frage kommende Alternativerklärung – eine Verstärkung des Tinnitus durch eine Nackenverspannung respektive durch degenerative Veränderungen in der Halswirbelsäule – ist mit dem erforderlichen Beweisgrad der überwiegenden Wahrscheinlichkeit widerlegt worden. Damit steht also fest, dass die im Jahr 2017 geltend gemachten Beschwerden überwiegend wahrscheinlich in einem natürlich kausalen Zusammenhang mit dem „Grundfall“ gestanden haben. 2.3  Auf den ersten Blick scheint auch offensichtlich ein adäquater Kausalzusammenhang vorzuliegen, denn der im „Grundfall“ als leistungsbegründend anerkannte Tinnitus ist offensichtlich nach dem gewöhnlichen Lauf der Dinge und nach der allgemeinen Lebenserfahrung geeignet, die im Januar 2017 geltend gemachten Beschwerden zu verursachen (vgl. zur allgemeinen Adäquanzdefinition etwa BGE 111 V 370 E. 2c S. 375 mit Hinweisen). Allerdings ist die neuere Praxis bezüglich der Bejahung eines adäquaten Kausalzusammenhangs im „Grundfall“ bei objektiv nicht nachweisbaren Beschwerden sehr streng. Die sogenannte „Psycho-Praxis“ (BGE 115 V 133) kommt auch bei einem objektiv nicht nachweisbaren Tinnitus zur Anwendung (BGE 138 V 248). Diese strenge Praxis dürfte letztlich wohl auf der Erkenntnis beruhen, dass eine objektiv nicht nachweisbare und damit letztlich nicht mit dem erforderlichen Beweisgrad der überwiegenden Wahrscheinlichkeit zu beweisende Gesundheitsbeeinträchtigung in aller Regel keine Leistungspflicht der Militärversicherung (oder einer anderen Sozialversicherung) begründen kann. Im hier massgebenden „Grundfall“ ist diese strenge Adäquanzprüfung nicht erfolgt; selbst noch in der Verfügung vom 16. November 2000 findet sich kein Hinweis auf eine Adäquanzprüfung. Nun könnte man sich auf den Standpunkt stellen, dass die Beschwerdegegnerin ihre Haftung für den Tinnitus formell rechtskräftig und damit verbindlich anerkannt habe, weshalb die versäumte Adäquanzprüfung nicht mehr nachgeholt werden könne. Diese Argumentation verfängt aber nicht. Vorliegend ist die Leistungspflicht der Beschwerdegegnerin in einem neuen Leistungsfall zu beurteilen. Dabei muss das aktuell geltende Recht zur Anwendung kommen, was die Anwendung der aktuellen Bundesgerichtspraxis beinhaltet. Ungeachtet der formell rechtskräftig und damit verbindlich zugesprochenen Integritätsschadenrente ist also zu prüfen, ob die im Januar 2017 geltend gemachten Beschwerden adäquat kausal durch die Ereignisse in den Jahren 1974 und 1975 verursacht worden sind und ob die Beschwerdegegnerin deshalb verpflichtet ist, dem Beschwerdeführer die entsprechenden Heilbehandlungskosten zu vergüten. 2.4  Wie die Beschwerdegegnerin ausführlich und überzeugend aufgezeigt hat, sind die spezifischen Adäquanzkriterien gemäss der einschlägigen bundesgerichtlichen Rechtsprechung (BGE 138 V 248 und BGE 115 V 133) nicht erfüllt, weshalb das Vorliegen eines adäquaten Kausalzusammenhangs zwischen den Ereignissen in den Jahren 1974 und 1975 und den im Januar 2017 geltend gemachten Beschwerden und damit auch eine Leistungspflicht der Beschwerdegegnerin für die ab Januar 2017 erfolgten Heilbehandlungsmassnahmen zu verneinen ist. Genau betrachtet scheitert die Bejahung einer Leistungspflicht der Beschwerdegegnerin allerdings bereits daran, dass der Tinnitus des Beschwerdeführers naturgemäss nicht objektiv nachgewiesen werden kann, denn das bedeutet, dass hinsichtlich des Vorliegens eines leistungsbegründenden Tinnitus eine objektive Beweislosigkeit vorliegt, deren Folgen der Beschwerdeführer zu tragen hat (vgl. dazu auch den Entscheid MV 2017/1 des St. Galler Versicherungsgerichtes vom 25. Mai 2018, E. 3.2). Der angefochtene Einspracheentscheid erweist sich jedenfalls im Ergebnis als rechtmässig.</w:t>
      </w:r>
    </w:p>
    <w:p>
      <w:r>
        <w:rPr>
          <w:b/>
        </w:rPr>
        <w:t>E. 3</w:t>
      </w:r>
    </w:p>
    <w:p>
      <w:r>
        <w:t>Die Beschwerde ist folglich abzuweisen. Gerichtskosten sind keine zu erheben.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